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Инструкции по подготовке </w:t>
      </w:r>
      <w:proofErr w:type="gramStart"/>
      <w:r>
        <w:rPr>
          <w:b/>
          <w:color w:val="000000"/>
          <w:sz w:val="24"/>
          <w:szCs w:val="24"/>
        </w:rPr>
        <w:t>рукописей  для</w:t>
      </w:r>
      <w:proofErr w:type="gramEnd"/>
      <w:r>
        <w:rPr>
          <w:b/>
          <w:color w:val="000000"/>
          <w:sz w:val="24"/>
          <w:szCs w:val="24"/>
        </w:rPr>
        <w:t xml:space="preserve">  журнала. </w:t>
      </w:r>
      <w:proofErr w:type="spellStart"/>
      <w:r>
        <w:rPr>
          <w:b/>
          <w:color w:val="000000"/>
          <w:sz w:val="24"/>
          <w:szCs w:val="24"/>
        </w:rPr>
        <w:t>Materials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Technologies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Design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УДК [Поставить номер УДК</w:t>
      </w:r>
      <w:proofErr w:type="gramStart"/>
      <w:r>
        <w:rPr>
          <w:b/>
          <w:color w:val="000000"/>
          <w:sz w:val="24"/>
          <w:szCs w:val="24"/>
        </w:rPr>
        <w:t>] ,</w:t>
      </w:r>
      <w:proofErr w:type="gramEnd"/>
      <w:r>
        <w:rPr>
          <w:b/>
          <w:color w:val="000000"/>
          <w:sz w:val="24"/>
          <w:szCs w:val="24"/>
        </w:rPr>
        <w:t xml:space="preserve"> P.A.C.S. [Поставить номер PACS]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Иван Петрович Сидоров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</w:rPr>
        <w:t>, Джон Смит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*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1</w:t>
      </w:r>
      <w:r>
        <w:rPr>
          <w:i/>
          <w:color w:val="000000"/>
          <w:sz w:val="24"/>
          <w:szCs w:val="24"/>
        </w:rPr>
        <w:t xml:space="preserve"> Уфимский Государственный Авиационный Технический Университет, ул. Карла Маркса 12, 450001, Уфа, Россия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  <w:vertAlign w:val="superscript"/>
        </w:rPr>
      </w:pPr>
      <w:r>
        <w:rPr>
          <w:i/>
          <w:color w:val="000000"/>
          <w:sz w:val="24"/>
          <w:szCs w:val="24"/>
        </w:rPr>
        <w:t>2 Массачусетский Технологический институт, 77 Авеню Массачусетс, 02139-4307 Кембридж, США</w:t>
      </w:r>
      <w:r>
        <w:rPr>
          <w:i/>
          <w:color w:val="000000"/>
          <w:sz w:val="24"/>
          <w:szCs w:val="24"/>
          <w:vertAlign w:val="superscript"/>
        </w:rPr>
        <w:t xml:space="preserve"> *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hyperlink r:id="rId4">
        <w:r>
          <w:rPr>
            <w:i/>
            <w:color w:val="0000FF"/>
            <w:sz w:val="24"/>
            <w:szCs w:val="24"/>
            <w:u w:val="single"/>
          </w:rPr>
          <w:t>smith@home.com</w:t>
        </w:r>
      </w:hyperlink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[Необходимо указать полное название учреждения, совпадающее с официальным, но без указания правовой формы (типа «Федеральное государственное … учреждение»), полный почтовый адрес, индекс (при наличии бо</w:t>
      </w:r>
      <w:r>
        <w:rPr>
          <w:i/>
          <w:color w:val="000000"/>
          <w:sz w:val="24"/>
          <w:szCs w:val="24"/>
        </w:rPr>
        <w:t>лее чем одного места работы указать их последовательно цифрами)]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АННОТАЦИЯ </w:t>
      </w:r>
    </w:p>
    <w:p w:rsidR="00FF4377" w:rsidRDefault="00B150A8">
      <w:pPr>
        <w:rPr>
          <w:sz w:val="24"/>
          <w:szCs w:val="24"/>
        </w:rPr>
      </w:pPr>
      <w:r>
        <w:rPr>
          <w:sz w:val="24"/>
          <w:szCs w:val="24"/>
        </w:rPr>
        <w:t xml:space="preserve">Ниже приведены основные инструкции по подготовке статьи для журнала.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Design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Этот документ содержит информацию обо всех форматах, шрифтах, стилях и размерах.</w:t>
      </w:r>
    </w:p>
    <w:p w:rsidR="00FF4377" w:rsidRDefault="00B150A8">
      <w:pPr>
        <w:rPr>
          <w:sz w:val="24"/>
          <w:szCs w:val="24"/>
        </w:rPr>
      </w:pPr>
      <w:r>
        <w:rPr>
          <w:sz w:val="24"/>
          <w:szCs w:val="24"/>
        </w:rPr>
        <w:t>Аннотация на русском языке должна как правило состоять из одного или дву</w:t>
      </w:r>
      <w:r>
        <w:rPr>
          <w:sz w:val="24"/>
          <w:szCs w:val="24"/>
        </w:rPr>
        <w:t>х абзацев, содержать от 150 до 200 слов, а ее перевод на английский язык должен по содержанию полностью совпадать с оригиналом. В нем должно быть кратко изложено, что было сделано в представляемой работе, как это было сделано, основная мотивация для выполн</w:t>
      </w:r>
      <w:r>
        <w:rPr>
          <w:sz w:val="24"/>
          <w:szCs w:val="24"/>
        </w:rPr>
        <w:t>ения работы, выделен основной результат работы и его значение для науки и потенциального применения. Аннотация публикуется в отрыве от основного текста и содержание ее должно быть понятным без ссылки на саму публикацию.</w:t>
      </w:r>
    </w:p>
    <w:p w:rsidR="00FF4377" w:rsidRDefault="00FF4377">
      <w:pPr>
        <w:rPr>
          <w:b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Ключевые слова:</w:t>
      </w:r>
      <w:r>
        <w:rPr>
          <w:color w:val="000000"/>
          <w:sz w:val="24"/>
          <w:szCs w:val="24"/>
        </w:rPr>
        <w:t xml:space="preserve"> приведите в порядке важности до 6 ключевых слов, наиболее близко относящихся к работе, например: аддитивные технологии, </w:t>
      </w:r>
      <w:proofErr w:type="spellStart"/>
      <w:r>
        <w:rPr>
          <w:color w:val="000000"/>
          <w:sz w:val="24"/>
          <w:szCs w:val="24"/>
        </w:rPr>
        <w:t>наноструктуры</w:t>
      </w:r>
      <w:proofErr w:type="spellEnd"/>
      <w:r>
        <w:rPr>
          <w:color w:val="000000"/>
          <w:sz w:val="24"/>
          <w:szCs w:val="24"/>
        </w:rPr>
        <w:t xml:space="preserve">, новые </w:t>
      </w:r>
      <w:proofErr w:type="gramStart"/>
      <w:r>
        <w:rPr>
          <w:color w:val="000000"/>
          <w:sz w:val="24"/>
          <w:szCs w:val="24"/>
        </w:rPr>
        <w:t>технологии  и</w:t>
      </w:r>
      <w:proofErr w:type="gramEnd"/>
      <w:r>
        <w:rPr>
          <w:color w:val="000000"/>
          <w:sz w:val="24"/>
          <w:szCs w:val="24"/>
        </w:rPr>
        <w:t xml:space="preserve"> т.д.</w:t>
      </w:r>
    </w:p>
    <w:p w:rsidR="00FF4377" w:rsidRDefault="00FF4377">
      <w:pPr>
        <w:rPr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Instructions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for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Preparing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Manuscripts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for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Journal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Materials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Technologies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Design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Ivan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Petrovich</w:t>
      </w:r>
      <w:proofErr w:type="spellEnd"/>
      <w:r>
        <w:rPr>
          <w:b/>
          <w:color w:val="000000"/>
          <w:sz w:val="24"/>
          <w:szCs w:val="24"/>
        </w:rPr>
        <w:t xml:space="preserve"> Sidorov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John</w:t>
      </w:r>
      <w:proofErr w:type="spellEnd"/>
      <w:r>
        <w:rPr>
          <w:b/>
          <w:color w:val="000000"/>
          <w:sz w:val="24"/>
          <w:szCs w:val="24"/>
        </w:rPr>
        <w:t xml:space="preserve"> Smith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*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1</w:t>
      </w: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Ufa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State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Aviation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Technical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University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Karl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Marx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st</w:t>
      </w:r>
      <w:proofErr w:type="spellEnd"/>
      <w:r>
        <w:rPr>
          <w:i/>
          <w:color w:val="000000"/>
          <w:sz w:val="24"/>
          <w:szCs w:val="24"/>
        </w:rPr>
        <w:t xml:space="preserve">. 12, 450001, </w:t>
      </w:r>
      <w:proofErr w:type="spellStart"/>
      <w:r>
        <w:rPr>
          <w:i/>
          <w:color w:val="000000"/>
          <w:sz w:val="24"/>
          <w:szCs w:val="24"/>
        </w:rPr>
        <w:t>Ufa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Russia</w:t>
      </w:r>
      <w:proofErr w:type="spellEnd"/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 </w:t>
      </w:r>
      <w:proofErr w:type="spellStart"/>
      <w:r>
        <w:rPr>
          <w:i/>
          <w:color w:val="000000"/>
          <w:sz w:val="24"/>
          <w:szCs w:val="24"/>
        </w:rPr>
        <w:t>Massachusetts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Institute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of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Technology</w:t>
      </w:r>
      <w:proofErr w:type="spellEnd"/>
      <w:r>
        <w:rPr>
          <w:i/>
          <w:color w:val="000000"/>
          <w:sz w:val="24"/>
          <w:szCs w:val="24"/>
        </w:rPr>
        <w:t xml:space="preserve">, 77 </w:t>
      </w:r>
      <w:proofErr w:type="spellStart"/>
      <w:r>
        <w:rPr>
          <w:i/>
          <w:color w:val="000000"/>
          <w:sz w:val="24"/>
          <w:szCs w:val="24"/>
        </w:rPr>
        <w:t>Massachusetts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/>
          <w:color w:val="000000"/>
          <w:sz w:val="24"/>
          <w:szCs w:val="24"/>
        </w:rPr>
        <w:t>Avenue</w:t>
      </w:r>
      <w:proofErr w:type="spellEnd"/>
      <w:r>
        <w:rPr>
          <w:i/>
          <w:color w:val="000000"/>
          <w:sz w:val="24"/>
          <w:szCs w:val="24"/>
        </w:rPr>
        <w:t>,  02139</w:t>
      </w:r>
      <w:proofErr w:type="gramEnd"/>
      <w:r>
        <w:rPr>
          <w:i/>
          <w:color w:val="000000"/>
          <w:sz w:val="24"/>
          <w:szCs w:val="24"/>
        </w:rPr>
        <w:t xml:space="preserve">-4307 </w:t>
      </w:r>
      <w:proofErr w:type="spellStart"/>
      <w:r>
        <w:rPr>
          <w:i/>
          <w:color w:val="000000"/>
          <w:sz w:val="24"/>
          <w:szCs w:val="24"/>
        </w:rPr>
        <w:t>Cambridge</w:t>
      </w:r>
      <w:proofErr w:type="spellEnd"/>
      <w:r>
        <w:rPr>
          <w:i/>
          <w:color w:val="000000"/>
          <w:sz w:val="24"/>
          <w:szCs w:val="24"/>
        </w:rPr>
        <w:t>, USA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*</w:t>
      </w:r>
      <w:r>
        <w:rPr>
          <w:i/>
          <w:color w:val="000000"/>
          <w:sz w:val="24"/>
          <w:szCs w:val="24"/>
        </w:rPr>
        <w:t>smith@home.com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ABSTRACT</w:t>
      </w:r>
    </w:p>
    <w:p w:rsidR="00FF4377" w:rsidRDefault="00B150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manuscript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 "</w:t>
      </w:r>
      <w:proofErr w:type="spellStart"/>
      <w:proofErr w:type="gramEnd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Design</w:t>
      </w:r>
      <w:proofErr w:type="spellEnd"/>
      <w:proofErr w:type="gramStart"/>
      <w:r>
        <w:rPr>
          <w:sz w:val="24"/>
          <w:szCs w:val="24"/>
        </w:rPr>
        <w:t xml:space="preserve">"  </w:t>
      </w:r>
      <w:proofErr w:type="spellStart"/>
      <w:r>
        <w:rPr>
          <w:sz w:val="24"/>
          <w:szCs w:val="24"/>
        </w:rPr>
        <w:t>are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150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paragraphs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concisely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significance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published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separately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from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itself</w:t>
      </w:r>
      <w:proofErr w:type="spellEnd"/>
      <w:r>
        <w:rPr>
          <w:sz w:val="24"/>
          <w:szCs w:val="24"/>
        </w:rPr>
        <w:t>.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993"/>
        <w:jc w:val="left"/>
        <w:rPr>
          <w:b/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/>
        <w:jc w:val="left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Keywords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give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importance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6 </w:t>
      </w:r>
      <w:proofErr w:type="spellStart"/>
      <w:r>
        <w:rPr>
          <w:color w:val="000000"/>
          <w:sz w:val="24"/>
          <w:szCs w:val="24"/>
        </w:rPr>
        <w:t>keyword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closely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describing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paper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e.g</w:t>
      </w:r>
      <w:proofErr w:type="spellEnd"/>
      <w:r>
        <w:rPr>
          <w:color w:val="000000"/>
          <w:sz w:val="24"/>
          <w:szCs w:val="24"/>
        </w:rPr>
        <w:t xml:space="preserve">.: </w:t>
      </w:r>
      <w:proofErr w:type="spellStart"/>
      <w:r>
        <w:rPr>
          <w:color w:val="000000"/>
          <w:sz w:val="24"/>
          <w:szCs w:val="24"/>
        </w:rPr>
        <w:t>additive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manufacturing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nanostructures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technologies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</w:rPr>
        <w:t>exc</w:t>
      </w:r>
      <w:proofErr w:type="spellEnd"/>
      <w:r>
        <w:rPr>
          <w:color w:val="000000"/>
          <w:sz w:val="24"/>
          <w:szCs w:val="24"/>
        </w:rPr>
        <w:t>...</w:t>
      </w:r>
      <w:proofErr w:type="gramEnd"/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993"/>
        <w:jc w:val="left"/>
        <w:rPr>
          <w:color w:val="000000"/>
        </w:rPr>
      </w:pPr>
    </w:p>
    <w:p w:rsidR="00FF4377" w:rsidRDefault="00FF4377">
      <w:pPr>
        <w:rPr>
          <w:color w:val="1F497D"/>
          <w:sz w:val="18"/>
          <w:szCs w:val="18"/>
        </w:rPr>
      </w:pPr>
    </w:p>
    <w:p w:rsidR="00FF4377" w:rsidRDefault="00B150A8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1. Введение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Как правило, статья состоит из нескольких разделов: Введение, Методика исследований, Результаты и их обсуждение и Выводы. Объем статьи должен составлять не менее 4 и не более 12 полных страниц. </w:t>
      </w:r>
    </w:p>
    <w:p w:rsidR="00FF4377" w:rsidRDefault="00FF4377">
      <w:pPr>
        <w:ind w:firstLine="567"/>
        <w:rPr>
          <w:sz w:val="24"/>
          <w:szCs w:val="24"/>
        </w:rPr>
      </w:pPr>
    </w:p>
    <w:p w:rsidR="00FF4377" w:rsidRDefault="00B150A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Рекомендации по набору текста</w:t>
      </w:r>
    </w:p>
    <w:p w:rsidR="00FF4377" w:rsidRDefault="00FF4377">
      <w:pPr>
        <w:ind w:firstLine="567"/>
        <w:rPr>
          <w:b/>
          <w:sz w:val="24"/>
          <w:szCs w:val="24"/>
        </w:rPr>
      </w:pP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Текст набирается в русифиц</w:t>
      </w:r>
      <w:r>
        <w:rPr>
          <w:sz w:val="24"/>
          <w:szCs w:val="24"/>
        </w:rPr>
        <w:t xml:space="preserve">ированном редакторе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. Формат оригиналов – А4. Старайтесь использовать только следующие шрифты: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– для текста, </w:t>
      </w:r>
      <w:proofErr w:type="spellStart"/>
      <w:r>
        <w:rPr>
          <w:sz w:val="24"/>
          <w:szCs w:val="24"/>
        </w:rPr>
        <w:t>Symbol</w:t>
      </w:r>
      <w:proofErr w:type="spellEnd"/>
      <w:r>
        <w:rPr>
          <w:sz w:val="24"/>
          <w:szCs w:val="24"/>
        </w:rPr>
        <w:t xml:space="preserve"> – для греческих букв. Размер шрифта основного текста – 12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параметры страницы – все поля 2 см. Выравнивание</w:t>
      </w:r>
      <w:r>
        <w:rPr>
          <w:sz w:val="24"/>
          <w:szCs w:val="24"/>
        </w:rPr>
        <w:t xml:space="preserve"> по ширине. Межстрочный интервал одинарный. Абзацный отступ – 1 см. Переносы включены. Рисунки, таблицы, графики, фотографии должны быть включены в текст статьи. Следует избегать сокращений. Все имеющиеся в тексте сокращения должны быть расшифрованы, за ис</w:t>
      </w:r>
      <w:r>
        <w:rPr>
          <w:sz w:val="24"/>
          <w:szCs w:val="24"/>
        </w:rPr>
        <w:t>ключением небольшого числа общеупотребительных.</w:t>
      </w:r>
    </w:p>
    <w:p w:rsidR="00FF4377" w:rsidRDefault="00FF4377">
      <w:pPr>
        <w:ind w:firstLine="567"/>
        <w:rPr>
          <w:sz w:val="24"/>
          <w:szCs w:val="24"/>
        </w:rPr>
      </w:pPr>
    </w:p>
    <w:p w:rsidR="00FF4377" w:rsidRDefault="00B150A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 Рекомендации по набору формул</w:t>
      </w:r>
    </w:p>
    <w:p w:rsidR="00FF4377" w:rsidRDefault="00FF4377">
      <w:pPr>
        <w:ind w:firstLine="567"/>
        <w:rPr>
          <w:b/>
          <w:sz w:val="24"/>
          <w:szCs w:val="24"/>
        </w:rPr>
      </w:pP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Формулы располагаются в тексте статьи и при необходимости нумеруются по порядку упоминания их в тексте арабскими цифрами. 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Знаки *, ′, ±, одиночные буквы греческого алфавита</w:t>
      </w:r>
      <w:r>
        <w:rPr>
          <w:sz w:val="24"/>
          <w:szCs w:val="24"/>
        </w:rPr>
        <w:t>, одиночные наклонные или полужирные буквы, одиночные переменные или обозначения, у которых есть только верхний или только нижний индекс, единицы измерения, цифры в тексте, а также простые математические или химические формулы (например,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) должны набираться в текстовом режиме </w:t>
      </w:r>
      <w:r>
        <w:rPr>
          <w:b/>
          <w:sz w:val="24"/>
          <w:szCs w:val="24"/>
        </w:rPr>
        <w:t>без использования редактора формул.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Выносные математические формулы (оформляемые отдельной строкой) должны </w:t>
      </w:r>
      <w:proofErr w:type="gramStart"/>
      <w:r>
        <w:rPr>
          <w:sz w:val="24"/>
          <w:szCs w:val="24"/>
        </w:rPr>
        <w:t>набираться  с</w:t>
      </w:r>
      <w:proofErr w:type="gramEnd"/>
      <w:r>
        <w:rPr>
          <w:sz w:val="24"/>
          <w:szCs w:val="24"/>
        </w:rPr>
        <w:t xml:space="preserve"> использованием  редактора формул (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Equation</w:t>
      </w:r>
      <w:proofErr w:type="spellEnd"/>
      <w:r>
        <w:rPr>
          <w:sz w:val="24"/>
          <w:szCs w:val="24"/>
        </w:rPr>
        <w:t>). Набор формул из составных элементов, где</w:t>
      </w:r>
      <w:r>
        <w:rPr>
          <w:sz w:val="24"/>
          <w:szCs w:val="24"/>
        </w:rPr>
        <w:t xml:space="preserve"> часть формулы – таблица, часть – текст, часть – внедренная рамка, не допускается.</w:t>
      </w:r>
    </w:p>
    <w:p w:rsidR="00FF4377" w:rsidRDefault="00FF4377">
      <w:pPr>
        <w:ind w:firstLine="567"/>
        <w:rPr>
          <w:sz w:val="24"/>
          <w:szCs w:val="24"/>
        </w:rPr>
      </w:pPr>
    </w:p>
    <w:p w:rsidR="00FF4377" w:rsidRDefault="00B150A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4.Рекомендации по набору таблиц</w:t>
      </w:r>
    </w:p>
    <w:p w:rsidR="00FF4377" w:rsidRDefault="00FF4377">
      <w:pPr>
        <w:ind w:firstLine="567"/>
        <w:rPr>
          <w:b/>
          <w:sz w:val="24"/>
          <w:szCs w:val="24"/>
        </w:rPr>
      </w:pP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Таблицы располагаются в тексте рукописи.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Таблицы нумеруются по порядку упоминания их в тексте арабскими цифрами. После номера должно следов</w:t>
      </w:r>
      <w:r>
        <w:rPr>
          <w:sz w:val="24"/>
          <w:szCs w:val="24"/>
        </w:rPr>
        <w:t xml:space="preserve">ать ее название, продублированное на русском и на английском </w:t>
      </w:r>
      <w:proofErr w:type="gramStart"/>
      <w:r>
        <w:rPr>
          <w:sz w:val="24"/>
          <w:szCs w:val="24"/>
        </w:rPr>
        <w:t>языке!.</w:t>
      </w:r>
      <w:proofErr w:type="gramEnd"/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Текстовая информация в таблице также приводится на двух языках. При этом возможны два вида записи: в две строчки - сначала на русском, потом на английском, как в названии таблицы, или в о</w:t>
      </w:r>
      <w:r>
        <w:rPr>
          <w:sz w:val="24"/>
          <w:szCs w:val="24"/>
        </w:rPr>
        <w:t xml:space="preserve">дну строчку, разделяя знаком дроби </w:t>
      </w:r>
      <w:proofErr w:type="gramStart"/>
      <w:r>
        <w:rPr>
          <w:sz w:val="24"/>
          <w:szCs w:val="24"/>
        </w:rPr>
        <w:t>« /</w:t>
      </w:r>
      <w:proofErr w:type="gramEnd"/>
      <w:r>
        <w:rPr>
          <w:sz w:val="24"/>
          <w:szCs w:val="24"/>
        </w:rPr>
        <w:t xml:space="preserve"> » – в зависимости от ситуации. Следует использовать только приведенный ниже вид набора таблицы. Сокращения слов в таблицах не допускаются.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Таблица 1. Пример таблицы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Table</w:t>
      </w:r>
      <w:proofErr w:type="spellEnd"/>
      <w:r>
        <w:rPr>
          <w:i/>
          <w:color w:val="000000"/>
          <w:sz w:val="24"/>
          <w:szCs w:val="24"/>
        </w:rPr>
        <w:t xml:space="preserve"> 1. </w:t>
      </w:r>
      <w:proofErr w:type="spellStart"/>
      <w:r>
        <w:rPr>
          <w:i/>
          <w:color w:val="000000"/>
          <w:sz w:val="24"/>
          <w:szCs w:val="24"/>
        </w:rPr>
        <w:t>Example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/>
          <w:color w:val="000000"/>
          <w:sz w:val="24"/>
          <w:szCs w:val="24"/>
        </w:rPr>
        <w:t>of</w:t>
      </w:r>
      <w:proofErr w:type="spellEnd"/>
      <w:r>
        <w:rPr>
          <w:i/>
          <w:color w:val="000000"/>
          <w:sz w:val="24"/>
          <w:szCs w:val="24"/>
        </w:rPr>
        <w:t xml:space="preserve">  </w:t>
      </w:r>
      <w:proofErr w:type="spellStart"/>
      <w:r>
        <w:rPr>
          <w:i/>
          <w:color w:val="000000"/>
          <w:sz w:val="24"/>
          <w:szCs w:val="24"/>
        </w:rPr>
        <w:t>the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table</w:t>
      </w:r>
      <w:proofErr w:type="spellEnd"/>
      <w:r>
        <w:rPr>
          <w:i/>
          <w:color w:val="000000"/>
          <w:sz w:val="24"/>
          <w:szCs w:val="24"/>
        </w:rPr>
        <w:t>.</w:t>
      </w:r>
    </w:p>
    <w:tbl>
      <w:tblPr>
        <w:tblStyle w:val="a5"/>
        <w:tblW w:w="9072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1010"/>
        <w:gridCol w:w="2321"/>
        <w:gridCol w:w="1417"/>
      </w:tblGrid>
      <w:tr w:rsidR="00FF4377">
        <w:tc>
          <w:tcPr>
            <w:tcW w:w="4324" w:type="dxa"/>
            <w:shd w:val="clear" w:color="auto" w:fill="auto"/>
          </w:tcPr>
          <w:p w:rsidR="00FF4377" w:rsidRDefault="00B150A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 / </w:t>
            </w:r>
            <w:proofErr w:type="spellStart"/>
            <w:r>
              <w:rPr>
                <w:sz w:val="24"/>
                <w:szCs w:val="24"/>
              </w:rPr>
              <w:t>Paramete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F4377" w:rsidRDefault="00B1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</w:t>
            </w:r>
          </w:p>
          <w:p w:rsidR="00FF4377" w:rsidRDefault="00B1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Symbol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FF4377" w:rsidRDefault="00B150A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F4377" w:rsidRDefault="00B150A8">
            <w:pPr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F4377" w:rsidRDefault="00B1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  <w:p w:rsidR="00FF4377" w:rsidRDefault="00B1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</w:p>
        </w:tc>
      </w:tr>
      <w:tr w:rsidR="00FF4377">
        <w:tc>
          <w:tcPr>
            <w:tcW w:w="4324" w:type="dxa"/>
            <w:shd w:val="clear" w:color="auto" w:fill="auto"/>
          </w:tcPr>
          <w:p w:rsidR="00FF4377" w:rsidRDefault="00B1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каналов /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channels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F4377" w:rsidRDefault="00B150A8">
            <w:pPr>
              <w:ind w:firstLine="10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</w:p>
        </w:tc>
        <w:tc>
          <w:tcPr>
            <w:tcW w:w="2321" w:type="dxa"/>
            <w:shd w:val="clear" w:color="auto" w:fill="auto"/>
          </w:tcPr>
          <w:p w:rsidR="00FF4377" w:rsidRDefault="00B1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FF4377" w:rsidRDefault="00B150A8">
            <w:pPr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F4377">
        <w:tc>
          <w:tcPr>
            <w:tcW w:w="4324" w:type="dxa"/>
            <w:shd w:val="clear" w:color="auto" w:fill="auto"/>
          </w:tcPr>
          <w:p w:rsidR="00FF4377" w:rsidRDefault="00B1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модуляции (для одного канала)</w:t>
            </w:r>
          </w:p>
          <w:p w:rsidR="00FF4377" w:rsidRDefault="00B1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modulation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index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channel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:rsidR="00FF4377" w:rsidRDefault="00B150A8">
            <w:pPr>
              <w:ind w:firstLine="10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  <w:tc>
          <w:tcPr>
            <w:tcW w:w="2321" w:type="dxa"/>
            <w:shd w:val="clear" w:color="auto" w:fill="auto"/>
          </w:tcPr>
          <w:p w:rsidR="00FF4377" w:rsidRDefault="00B1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4377" w:rsidRDefault="00B150A8">
            <w:pPr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F4377">
        <w:tc>
          <w:tcPr>
            <w:tcW w:w="4324" w:type="dxa"/>
            <w:shd w:val="clear" w:color="auto" w:fill="auto"/>
          </w:tcPr>
          <w:p w:rsidR="00FF4377" w:rsidRDefault="00B1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промежуток между каналами</w:t>
            </w:r>
          </w:p>
          <w:p w:rsidR="00FF4377" w:rsidRDefault="00B1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between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channels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F4377" w:rsidRDefault="00B150A8">
            <w:pPr>
              <w:ind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</w:t>
            </w:r>
            <w:r>
              <w:rPr>
                <w:i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FF4377" w:rsidRDefault="00B1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377" w:rsidRDefault="00B150A8">
            <w:pPr>
              <w:ind w:hanging="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MHz</w:t>
            </w:r>
            <w:proofErr w:type="spellEnd"/>
          </w:p>
        </w:tc>
      </w:tr>
      <w:tr w:rsidR="00FF4377">
        <w:tc>
          <w:tcPr>
            <w:tcW w:w="4324" w:type="dxa"/>
            <w:shd w:val="clear" w:color="auto" w:fill="auto"/>
          </w:tcPr>
          <w:p w:rsidR="00FF4377" w:rsidRDefault="00B1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первого канала</w:t>
            </w:r>
          </w:p>
          <w:p w:rsidR="00FF4377" w:rsidRDefault="00B1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frequency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channel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F4377" w:rsidRDefault="00B150A8">
            <w:pPr>
              <w:ind w:firstLine="104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321" w:type="dxa"/>
            <w:shd w:val="clear" w:color="auto" w:fill="auto"/>
          </w:tcPr>
          <w:p w:rsidR="00FF4377" w:rsidRDefault="00B1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4377" w:rsidRDefault="00B150A8">
            <w:pPr>
              <w:ind w:hanging="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MHz</w:t>
            </w:r>
            <w:proofErr w:type="spellEnd"/>
          </w:p>
        </w:tc>
      </w:tr>
      <w:tr w:rsidR="00FF4377">
        <w:tc>
          <w:tcPr>
            <w:tcW w:w="4324" w:type="dxa"/>
            <w:shd w:val="clear" w:color="auto" w:fill="auto"/>
          </w:tcPr>
          <w:p w:rsidR="00FF4377" w:rsidRDefault="00B1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Выходная мощность передатчика </w:t>
            </w:r>
          </w:p>
          <w:p w:rsidR="00FF4377" w:rsidRDefault="00B1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transmitter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output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F4377" w:rsidRDefault="00B150A8">
            <w:pPr>
              <w:ind w:firstLine="104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321" w:type="dxa"/>
            <w:shd w:val="clear" w:color="auto" w:fill="auto"/>
          </w:tcPr>
          <w:p w:rsidR="00FF4377" w:rsidRDefault="00B1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4377" w:rsidRDefault="00B150A8">
            <w:pPr>
              <w:ind w:hanging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mW</w:t>
            </w:r>
          </w:p>
        </w:tc>
      </w:tr>
    </w:tbl>
    <w:p w:rsidR="00FF4377" w:rsidRDefault="00FF4377">
      <w:pPr>
        <w:ind w:firstLine="567"/>
        <w:rPr>
          <w:sz w:val="24"/>
          <w:szCs w:val="24"/>
        </w:rPr>
      </w:pP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Создавайте таблицы, используя возможности MS </w:t>
      </w:r>
      <w:proofErr w:type="spellStart"/>
      <w:proofErr w:type="gram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Таблица – Добавить таблицу) или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 Таблицы, набранные вручную с помощью пробелов или табуляций, не могут быть использованы.</w:t>
      </w:r>
    </w:p>
    <w:p w:rsidR="00FF4377" w:rsidRDefault="00FF4377">
      <w:pPr>
        <w:ind w:firstLine="567"/>
        <w:rPr>
          <w:sz w:val="24"/>
          <w:szCs w:val="24"/>
        </w:rPr>
      </w:pPr>
    </w:p>
    <w:p w:rsidR="00FF4377" w:rsidRDefault="00B150A8">
      <w:pPr>
        <w:shd w:val="clear" w:color="auto" w:fill="FFFFFF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к иллюстрациям</w:t>
      </w:r>
    </w:p>
    <w:p w:rsidR="00FF4377" w:rsidRDefault="00FF4377">
      <w:pPr>
        <w:shd w:val="clear" w:color="auto" w:fill="FFFFFF"/>
        <w:ind w:firstLine="567"/>
        <w:rPr>
          <w:b/>
          <w:sz w:val="24"/>
          <w:szCs w:val="24"/>
        </w:rPr>
      </w:pPr>
    </w:p>
    <w:p w:rsidR="00FF4377" w:rsidRDefault="00B150A8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Иллюстрации и подписи к ним располагаются </w:t>
      </w:r>
      <w:r>
        <w:rPr>
          <w:sz w:val="24"/>
          <w:szCs w:val="24"/>
        </w:rPr>
        <w:t>в тексте рукописи.</w:t>
      </w:r>
    </w:p>
    <w:p w:rsidR="00FF4377" w:rsidRDefault="00B150A8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Иллюстрации размещаются после их упоминания в тексте и нумеруются последовательно арабскими цифрами (например, рис. 1, рис. 2 и т.д.).</w:t>
      </w:r>
      <w:r>
        <w:t xml:space="preserve"> </w:t>
      </w:r>
      <w:r>
        <w:rPr>
          <w:sz w:val="24"/>
          <w:szCs w:val="24"/>
        </w:rPr>
        <w:t xml:space="preserve"> В тексте должны быть ссылки на все рисунки.</w:t>
      </w:r>
    </w:p>
    <w:p w:rsidR="00FF4377" w:rsidRDefault="00B150A8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Внимание!</w:t>
      </w:r>
      <w:r>
        <w:rPr>
          <w:sz w:val="24"/>
          <w:szCs w:val="24"/>
        </w:rPr>
        <w:t xml:space="preserve"> Подрисуночная подпись должна быть представлена </w:t>
      </w:r>
      <w:r>
        <w:rPr>
          <w:sz w:val="24"/>
          <w:szCs w:val="24"/>
        </w:rPr>
        <w:t xml:space="preserve">на двух языках </w:t>
      </w:r>
      <w:r>
        <w:rPr>
          <w:b/>
          <w:sz w:val="24"/>
          <w:szCs w:val="24"/>
        </w:rPr>
        <w:t>(английский и русский)!</w:t>
      </w:r>
      <w:r>
        <w:rPr>
          <w:sz w:val="24"/>
          <w:szCs w:val="24"/>
        </w:rPr>
        <w:t xml:space="preserve">  Рисунки должны содержать минимум текстовой информации, которая должна быть хорошо видна и понятна. Если такая информация присутствует, она должна составлять единое целое с рисунком, то есть не должна быть вставлена к</w:t>
      </w:r>
      <w:r>
        <w:rPr>
          <w:sz w:val="24"/>
          <w:szCs w:val="24"/>
        </w:rPr>
        <w:t xml:space="preserve">ак надпись в редакторе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. При этом все надписи на рисунках даются на английском языке (включая обозначения на графиках осей, масштабные маркеры микроструктур и т.п.) </w:t>
      </w:r>
    </w:p>
    <w:p w:rsidR="00FF4377" w:rsidRDefault="00FF4377">
      <w:pPr>
        <w:shd w:val="clear" w:color="auto" w:fill="FFFFFF"/>
        <w:ind w:firstLine="567"/>
        <w:rPr>
          <w:sz w:val="24"/>
          <w:szCs w:val="24"/>
        </w:rPr>
      </w:pPr>
    </w:p>
    <w:p w:rsidR="00FF4377" w:rsidRDefault="00B150A8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7030" cy="207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377" w:rsidRDefault="00B150A8">
      <w:pPr>
        <w:spacing w:before="280" w:after="28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Рис. 1.</w:t>
      </w:r>
      <w:r>
        <w:rPr>
          <w:sz w:val="24"/>
          <w:szCs w:val="24"/>
        </w:rPr>
        <w:t xml:space="preserve"> Подпись размещается под рисунком с выравниванием по центру.</w:t>
      </w:r>
    </w:p>
    <w:p w:rsidR="00FF4377" w:rsidRDefault="00B150A8">
      <w:pPr>
        <w:ind w:firstLine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Fig</w:t>
      </w:r>
      <w:proofErr w:type="spellEnd"/>
      <w:r>
        <w:rPr>
          <w:b/>
          <w:sz w:val="24"/>
          <w:szCs w:val="24"/>
        </w:rPr>
        <w:t>. 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centered</w:t>
      </w:r>
      <w:proofErr w:type="spellEnd"/>
      <w:r>
        <w:rPr>
          <w:sz w:val="24"/>
          <w:szCs w:val="24"/>
        </w:rPr>
        <w:t>.</w:t>
      </w:r>
    </w:p>
    <w:p w:rsidR="00FF4377" w:rsidRDefault="00FF4377">
      <w:pPr>
        <w:shd w:val="clear" w:color="auto" w:fill="FFFFFF"/>
        <w:ind w:firstLine="567"/>
        <w:rPr>
          <w:sz w:val="24"/>
          <w:szCs w:val="24"/>
        </w:rPr>
      </w:pPr>
    </w:p>
    <w:p w:rsidR="00FF4377" w:rsidRDefault="00B150A8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Иллюстрации должны иметь размеры, соответствующие их информативности: 8–8,5 см (на одну колонку) либо 17–17,5 см (на две колонки); разрешение для всех изображений - не менее 450 dpi. Р</w:t>
      </w:r>
      <w:r>
        <w:rPr>
          <w:sz w:val="24"/>
          <w:szCs w:val="24"/>
        </w:rPr>
        <w:t xml:space="preserve">исунки должны быть адаптированы для черно-белой печати. </w:t>
      </w:r>
    </w:p>
    <w:p w:rsidR="00FF4377" w:rsidRDefault="00B150A8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Редакция принимает цветные рисунки, они будут опубликованы только в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 xml:space="preserve"> версии статьи. Перед предоставлением таких рисунков авторам необходимо убедиться, что при черно-белой печати все цвета удов</w:t>
      </w:r>
      <w:r>
        <w:rPr>
          <w:sz w:val="24"/>
          <w:szCs w:val="24"/>
        </w:rPr>
        <w:t>летворительно пропечатываются, и качество и информативность рисунка не теряется!</w:t>
      </w:r>
    </w:p>
    <w:p w:rsidR="00FF4377" w:rsidRDefault="00B150A8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фотографиях (например, структур) обязательно должны быть указаны размерные метки. Для надписей и обозначений используйте стандартные </w:t>
      </w:r>
      <w:proofErr w:type="spellStart"/>
      <w:r>
        <w:rPr>
          <w:sz w:val="24"/>
          <w:szCs w:val="24"/>
        </w:rPr>
        <w:t>TrueType</w:t>
      </w:r>
      <w:proofErr w:type="spellEnd"/>
      <w:r>
        <w:rPr>
          <w:sz w:val="24"/>
          <w:szCs w:val="24"/>
        </w:rPr>
        <w:t xml:space="preserve"> шрифты. Для графиков и диаграм</w:t>
      </w:r>
      <w:r>
        <w:rPr>
          <w:sz w:val="24"/>
          <w:szCs w:val="24"/>
        </w:rPr>
        <w:t xml:space="preserve">м толщина линий должна составлять не меньше 0,5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</w:t>
      </w:r>
    </w:p>
    <w:p w:rsidR="00FF4377" w:rsidRDefault="00FF4377">
      <w:pPr>
        <w:ind w:firstLine="567"/>
        <w:rPr>
          <w:b/>
          <w:sz w:val="24"/>
          <w:szCs w:val="24"/>
        </w:rPr>
      </w:pPr>
    </w:p>
    <w:p w:rsidR="00FF4377" w:rsidRDefault="00B150A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 Выводы</w:t>
      </w:r>
    </w:p>
    <w:p w:rsidR="00FF4377" w:rsidRDefault="00FF4377">
      <w:pPr>
        <w:ind w:firstLine="567"/>
        <w:rPr>
          <w:b/>
          <w:sz w:val="24"/>
          <w:szCs w:val="24"/>
        </w:rPr>
      </w:pP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Выводы по результатам работы, описанной в данной статье, должны быть лаконичными.</w:t>
      </w:r>
    </w:p>
    <w:p w:rsidR="00FF4377" w:rsidRDefault="00FF4377">
      <w:pPr>
        <w:ind w:firstLine="567"/>
        <w:jc w:val="center"/>
        <w:rPr>
          <w:b/>
          <w:sz w:val="24"/>
          <w:szCs w:val="24"/>
        </w:rPr>
      </w:pPr>
    </w:p>
    <w:p w:rsidR="00FF4377" w:rsidRDefault="00FF4377">
      <w:pPr>
        <w:ind w:firstLine="567"/>
        <w:jc w:val="center"/>
        <w:rPr>
          <w:b/>
          <w:sz w:val="24"/>
          <w:szCs w:val="24"/>
        </w:rPr>
      </w:pPr>
    </w:p>
    <w:p w:rsidR="00FF4377" w:rsidRDefault="00FF4377">
      <w:pPr>
        <w:ind w:firstLine="567"/>
        <w:jc w:val="center"/>
        <w:rPr>
          <w:b/>
          <w:sz w:val="24"/>
          <w:szCs w:val="24"/>
        </w:rPr>
      </w:pPr>
    </w:p>
    <w:p w:rsidR="00FF4377" w:rsidRDefault="00B150A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Благодарности / </w:t>
      </w:r>
      <w:proofErr w:type="spellStart"/>
      <w:r>
        <w:rPr>
          <w:b/>
          <w:sz w:val="24"/>
          <w:szCs w:val="24"/>
        </w:rPr>
        <w:t>Acknowledgments</w:t>
      </w:r>
      <w:proofErr w:type="spellEnd"/>
    </w:p>
    <w:p w:rsidR="00FF4377" w:rsidRDefault="00FF4377">
      <w:pPr>
        <w:ind w:firstLine="567"/>
        <w:rPr>
          <w:b/>
          <w:sz w:val="24"/>
          <w:szCs w:val="24"/>
        </w:rPr>
      </w:pP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Указать источник(и) финансирования исследования (при наличии таковых, напр</w:t>
      </w:r>
      <w:r>
        <w:rPr>
          <w:sz w:val="24"/>
          <w:szCs w:val="24"/>
        </w:rPr>
        <w:t xml:space="preserve">имер, грант), используя, к примеру, следующее: «Исследование выполнено при финансовой поддержке (финансовом обеспечении) …». Раздел дублируется на русском и английском языках.  </w:t>
      </w:r>
    </w:p>
    <w:p w:rsidR="00FF4377" w:rsidRDefault="00B150A8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Indicate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source</w:t>
      </w:r>
      <w:proofErr w:type="spellEnd"/>
      <w:r>
        <w:rPr>
          <w:sz w:val="24"/>
          <w:szCs w:val="24"/>
        </w:rPr>
        <w:t xml:space="preserve"> (s)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grant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us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) ...”.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duplicated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>.</w:t>
      </w:r>
    </w:p>
    <w:p w:rsidR="00FF4377" w:rsidRDefault="00FF4377">
      <w:pPr>
        <w:ind w:firstLine="567"/>
        <w:jc w:val="center"/>
        <w:rPr>
          <w:b/>
          <w:sz w:val="24"/>
          <w:szCs w:val="24"/>
        </w:rPr>
      </w:pPr>
    </w:p>
    <w:p w:rsidR="00FF4377" w:rsidRDefault="00B150A8">
      <w:pPr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литературы / </w:t>
      </w:r>
      <w:proofErr w:type="spellStart"/>
      <w:r>
        <w:rPr>
          <w:b/>
          <w:sz w:val="24"/>
          <w:szCs w:val="24"/>
        </w:rPr>
        <w:t>References</w:t>
      </w:r>
      <w:proofErr w:type="spellEnd"/>
    </w:p>
    <w:p w:rsidR="00FF4377" w:rsidRDefault="00FF4377">
      <w:pPr>
        <w:ind w:firstLine="567"/>
        <w:jc w:val="left"/>
        <w:rPr>
          <w:b/>
          <w:sz w:val="24"/>
          <w:szCs w:val="24"/>
        </w:rPr>
      </w:pP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Следует обратить особое внимание на содержание спис</w:t>
      </w:r>
      <w:r>
        <w:rPr>
          <w:sz w:val="24"/>
          <w:szCs w:val="24"/>
        </w:rPr>
        <w:t>ка цитируемых источников ввиду того что он отражает актуальность представленного исследования и направления в целом; компетентность авторов и научную новизну их работы. При этом используемые ссылки должны быть доступны научной общественности, поэтому приве</w:t>
      </w:r>
      <w:r>
        <w:rPr>
          <w:sz w:val="24"/>
          <w:szCs w:val="24"/>
        </w:rPr>
        <w:t>тствуется наличие DOI публикации.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Количество литературных ссылок должно быть не менее 20 с большей (более 50%) долей зарубежных источников. 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Ссылки в тексте даются в квадратных скобках,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[1] или [2–5]. Нумерация источников должна соответствовать оч</w:t>
      </w:r>
      <w:r>
        <w:rPr>
          <w:sz w:val="24"/>
          <w:szCs w:val="24"/>
        </w:rPr>
        <w:t>ередности ссылок на них в тексте.</w:t>
      </w:r>
      <w:r>
        <w:t xml:space="preserve"> </w:t>
      </w:r>
      <w:r>
        <w:rPr>
          <w:sz w:val="24"/>
          <w:szCs w:val="24"/>
        </w:rPr>
        <w:t>Ссылки на источники информации с указанием порядкового номера источника в списке литературы располагают в квадратных скобках.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Ссылки на неопубликованные работы недопустимы.</w:t>
      </w:r>
    </w:p>
    <w:p w:rsidR="00FF4377" w:rsidRDefault="00B150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Ссылки на все источники информации приводятся на английском языке. При ссылке на источники, опубликованные на русском языке, ссылка на русском языке приводится в квадратных скобках с указанием перед квадратными скобками (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Russian</w:t>
      </w:r>
      <w:proofErr w:type="spellEnd"/>
      <w:r>
        <w:rPr>
          <w:sz w:val="24"/>
          <w:szCs w:val="24"/>
        </w:rPr>
        <w:t>) для учета ее в российск</w:t>
      </w:r>
      <w:r>
        <w:rPr>
          <w:sz w:val="24"/>
          <w:szCs w:val="24"/>
        </w:rPr>
        <w:t>ой базе данных E-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. При наличии у публикации DOI его следует </w:t>
      </w:r>
      <w:proofErr w:type="spellStart"/>
      <w:r>
        <w:rPr>
          <w:sz w:val="24"/>
          <w:szCs w:val="24"/>
        </w:rPr>
        <w:t>указывать.Если</w:t>
      </w:r>
      <w:proofErr w:type="spellEnd"/>
      <w:r>
        <w:rPr>
          <w:sz w:val="24"/>
          <w:szCs w:val="24"/>
        </w:rPr>
        <w:t xml:space="preserve"> работа была издана и на </w:t>
      </w:r>
      <w:proofErr w:type="gramStart"/>
      <w:r>
        <w:rPr>
          <w:sz w:val="24"/>
          <w:szCs w:val="24"/>
        </w:rPr>
        <w:t>русском</w:t>
      </w:r>
      <w:proofErr w:type="gramEnd"/>
      <w:r>
        <w:rPr>
          <w:sz w:val="24"/>
          <w:szCs w:val="24"/>
        </w:rPr>
        <w:t xml:space="preserve"> и на английском (или других) языках, то в Списке литературы и в </w:t>
      </w:r>
      <w:proofErr w:type="spellStart"/>
      <w:r>
        <w:rPr>
          <w:sz w:val="24"/>
          <w:szCs w:val="24"/>
        </w:rPr>
        <w:t>References</w:t>
      </w:r>
      <w:proofErr w:type="spellEnd"/>
      <w:r>
        <w:rPr>
          <w:sz w:val="24"/>
          <w:szCs w:val="24"/>
        </w:rPr>
        <w:t xml:space="preserve"> лучше давать ссылку на переводную работу.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допускается делать про</w:t>
      </w:r>
      <w:r>
        <w:rPr>
          <w:color w:val="000000"/>
          <w:sz w:val="24"/>
          <w:szCs w:val="24"/>
        </w:rPr>
        <w:t xml:space="preserve">извольные сокращения названий журналов. Если в журнале отсутствует указание на сокращенное название, рекомендуется проверить наличие рекомендуемых сокращений в списке, разработанном ISSN центром: </w:t>
      </w:r>
      <w:proofErr w:type="spellStart"/>
      <w:r>
        <w:rPr>
          <w:color w:val="000000"/>
          <w:sz w:val="24"/>
          <w:szCs w:val="24"/>
        </w:rPr>
        <w:t>List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Title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Abbreviations</w:t>
      </w:r>
      <w:proofErr w:type="spellEnd"/>
      <w:r>
        <w:rPr>
          <w:color w:val="000000"/>
          <w:sz w:val="24"/>
          <w:szCs w:val="24"/>
        </w:rPr>
        <w:t xml:space="preserve"> (LTWA) http://www.issn.org</w:t>
      </w:r>
      <w:r>
        <w:rPr>
          <w:color w:val="000000"/>
          <w:sz w:val="24"/>
          <w:szCs w:val="24"/>
        </w:rPr>
        <w:t xml:space="preserve">/services/online-services/access-to-the-ltwa/; если нет рекомендаций по сокращению слов, следует давать их полное написание; 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ссылки на непереводную статью: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[1] </w:t>
      </w:r>
      <w:proofErr w:type="spellStart"/>
      <w:r>
        <w:rPr>
          <w:color w:val="000000"/>
          <w:sz w:val="24"/>
          <w:szCs w:val="24"/>
        </w:rPr>
        <w:t>Dedov</w:t>
      </w:r>
      <w:proofErr w:type="spellEnd"/>
      <w:r>
        <w:rPr>
          <w:color w:val="000000"/>
          <w:sz w:val="24"/>
          <w:szCs w:val="24"/>
        </w:rPr>
        <w:t xml:space="preserve"> I.I.</w:t>
      </w:r>
      <w:proofErr w:type="gramStart"/>
      <w:r>
        <w:rPr>
          <w:color w:val="000000"/>
          <w:sz w:val="24"/>
          <w:szCs w:val="24"/>
        </w:rPr>
        <w:t xml:space="preserve">,  </w:t>
      </w:r>
      <w:proofErr w:type="spellStart"/>
      <w:r>
        <w:rPr>
          <w:color w:val="000000"/>
          <w:sz w:val="24"/>
          <w:szCs w:val="24"/>
        </w:rPr>
        <w:t>Shestakova</w:t>
      </w:r>
      <w:proofErr w:type="spellEnd"/>
      <w:proofErr w:type="gramEnd"/>
      <w:r>
        <w:rPr>
          <w:color w:val="000000"/>
          <w:sz w:val="24"/>
          <w:szCs w:val="24"/>
        </w:rPr>
        <w:t xml:space="preserve"> M.V.,  </w:t>
      </w:r>
      <w:proofErr w:type="spellStart"/>
      <w:r>
        <w:rPr>
          <w:color w:val="000000"/>
          <w:sz w:val="24"/>
          <w:szCs w:val="24"/>
        </w:rPr>
        <w:t>Vikulova</w:t>
      </w:r>
      <w:proofErr w:type="spellEnd"/>
      <w:r>
        <w:rPr>
          <w:color w:val="000000"/>
          <w:sz w:val="24"/>
          <w:szCs w:val="24"/>
        </w:rPr>
        <w:t xml:space="preserve"> O.K.  </w:t>
      </w:r>
      <w:proofErr w:type="spellStart"/>
      <w:proofErr w:type="gramStart"/>
      <w:r>
        <w:rPr>
          <w:color w:val="000000"/>
          <w:sz w:val="24"/>
          <w:szCs w:val="24"/>
        </w:rPr>
        <w:t>National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register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diabetes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mellit</w:t>
      </w:r>
      <w:r>
        <w:rPr>
          <w:color w:val="000000"/>
          <w:sz w:val="24"/>
          <w:szCs w:val="24"/>
        </w:rPr>
        <w:t>us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Russian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Federation</w:t>
      </w:r>
      <w:proofErr w:type="spellEnd"/>
      <w:r>
        <w:rPr>
          <w:color w:val="000000"/>
          <w:sz w:val="24"/>
          <w:szCs w:val="24"/>
        </w:rPr>
        <w:t xml:space="preserve"> // </w:t>
      </w:r>
      <w:proofErr w:type="spellStart"/>
      <w:r>
        <w:rPr>
          <w:color w:val="000000"/>
          <w:sz w:val="24"/>
          <w:szCs w:val="24"/>
        </w:rPr>
        <w:t>Diabetes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mellitus</w:t>
      </w:r>
      <w:proofErr w:type="spellEnd"/>
      <w:r>
        <w:rPr>
          <w:color w:val="000000"/>
          <w:sz w:val="24"/>
          <w:szCs w:val="24"/>
        </w:rPr>
        <w:t>. 18 (3) 5-22 (2015). (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Russian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gramStart"/>
      <w:r>
        <w:rPr>
          <w:color w:val="000000"/>
          <w:sz w:val="24"/>
          <w:szCs w:val="24"/>
        </w:rPr>
        <w:t>[ Дедов</w:t>
      </w:r>
      <w:proofErr w:type="gramEnd"/>
      <w:r>
        <w:rPr>
          <w:color w:val="000000"/>
          <w:sz w:val="24"/>
          <w:szCs w:val="24"/>
        </w:rPr>
        <w:t xml:space="preserve">  И.И.,  Шестакова  М.В.  </w:t>
      </w:r>
      <w:proofErr w:type="gramStart"/>
      <w:r>
        <w:rPr>
          <w:color w:val="000000"/>
          <w:sz w:val="24"/>
          <w:szCs w:val="24"/>
        </w:rPr>
        <w:t>Викулова  О.К.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Государственный  регистр</w:t>
      </w:r>
      <w:proofErr w:type="gramEnd"/>
      <w:r>
        <w:rPr>
          <w:color w:val="000000"/>
          <w:sz w:val="24"/>
          <w:szCs w:val="24"/>
        </w:rPr>
        <w:t xml:space="preserve">  сахарного  диабета  в  Российской  Федерации:  статус  2014  г.  </w:t>
      </w:r>
      <w:proofErr w:type="gramStart"/>
      <w:r>
        <w:rPr>
          <w:color w:val="000000"/>
          <w:sz w:val="24"/>
          <w:szCs w:val="24"/>
        </w:rPr>
        <w:t>и  перспективы</w:t>
      </w:r>
      <w:proofErr w:type="gramEnd"/>
      <w:r>
        <w:rPr>
          <w:color w:val="000000"/>
          <w:sz w:val="24"/>
          <w:szCs w:val="24"/>
        </w:rPr>
        <w:t xml:space="preserve">  развития // Сахар</w:t>
      </w:r>
      <w:r>
        <w:rPr>
          <w:color w:val="000000"/>
          <w:sz w:val="24"/>
          <w:szCs w:val="24"/>
        </w:rPr>
        <w:t xml:space="preserve">ный  диабет.  18 (3) 5-22 (2015)].  </w:t>
      </w:r>
      <w:proofErr w:type="gramStart"/>
      <w:r>
        <w:rPr>
          <w:color w:val="000000"/>
          <w:sz w:val="24"/>
          <w:szCs w:val="24"/>
        </w:rPr>
        <w:t>DOI:  10.14341</w:t>
      </w:r>
      <w:proofErr w:type="gramEnd"/>
      <w:r>
        <w:rPr>
          <w:color w:val="000000"/>
          <w:sz w:val="24"/>
          <w:szCs w:val="24"/>
        </w:rPr>
        <w:t xml:space="preserve">/DM201535-22 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ссылки на переводную статью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[2] </w:t>
      </w:r>
      <w:proofErr w:type="spellStart"/>
      <w:r>
        <w:rPr>
          <w:color w:val="000000"/>
          <w:sz w:val="24"/>
          <w:szCs w:val="24"/>
        </w:rPr>
        <w:t>Savin</w:t>
      </w:r>
      <w:proofErr w:type="spellEnd"/>
      <w:r>
        <w:rPr>
          <w:color w:val="000000"/>
          <w:sz w:val="24"/>
          <w:szCs w:val="24"/>
        </w:rPr>
        <w:t xml:space="preserve"> A.V., </w:t>
      </w:r>
      <w:proofErr w:type="spellStart"/>
      <w:r>
        <w:rPr>
          <w:color w:val="000000"/>
          <w:sz w:val="24"/>
          <w:szCs w:val="24"/>
        </w:rPr>
        <w:t>Korznikova</w:t>
      </w:r>
      <w:proofErr w:type="spellEnd"/>
      <w:r>
        <w:rPr>
          <w:color w:val="000000"/>
          <w:sz w:val="24"/>
          <w:szCs w:val="24"/>
        </w:rPr>
        <w:t xml:space="preserve"> E.A., </w:t>
      </w:r>
      <w:proofErr w:type="spellStart"/>
      <w:r>
        <w:rPr>
          <w:color w:val="000000"/>
          <w:sz w:val="24"/>
          <w:szCs w:val="24"/>
        </w:rPr>
        <w:t>Lobzenko</w:t>
      </w:r>
      <w:proofErr w:type="spellEnd"/>
      <w:r>
        <w:rPr>
          <w:color w:val="000000"/>
          <w:sz w:val="24"/>
          <w:szCs w:val="24"/>
        </w:rPr>
        <w:t xml:space="preserve"> I.P., </w:t>
      </w:r>
      <w:proofErr w:type="spellStart"/>
      <w:r>
        <w:rPr>
          <w:color w:val="000000"/>
          <w:sz w:val="24"/>
          <w:szCs w:val="24"/>
        </w:rPr>
        <w:t>Baimova</w:t>
      </w:r>
      <w:proofErr w:type="spellEnd"/>
      <w:r>
        <w:rPr>
          <w:color w:val="000000"/>
          <w:sz w:val="24"/>
          <w:szCs w:val="24"/>
        </w:rPr>
        <w:t xml:space="preserve"> Yu.A., </w:t>
      </w:r>
      <w:proofErr w:type="spellStart"/>
      <w:r>
        <w:rPr>
          <w:color w:val="000000"/>
          <w:sz w:val="24"/>
          <w:szCs w:val="24"/>
        </w:rPr>
        <w:t>Dmitriev</w:t>
      </w:r>
      <w:proofErr w:type="spellEnd"/>
      <w:r>
        <w:rPr>
          <w:color w:val="000000"/>
          <w:sz w:val="24"/>
          <w:szCs w:val="24"/>
        </w:rPr>
        <w:t xml:space="preserve"> S.V. </w:t>
      </w:r>
      <w:proofErr w:type="spellStart"/>
      <w:r>
        <w:rPr>
          <w:color w:val="000000"/>
          <w:sz w:val="24"/>
          <w:szCs w:val="24"/>
        </w:rPr>
        <w:t>Symmetric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scrolled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packings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multilayered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carbon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nanoribbons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Physics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olid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State</w:t>
      </w:r>
      <w:proofErr w:type="spellEnd"/>
      <w:r>
        <w:rPr>
          <w:color w:val="000000"/>
          <w:sz w:val="24"/>
          <w:szCs w:val="24"/>
        </w:rPr>
        <w:t>. 58(6), 1278-1284 (2016</w:t>
      </w:r>
      <w:proofErr w:type="gramStart"/>
      <w:r>
        <w:rPr>
          <w:color w:val="000000"/>
          <w:sz w:val="24"/>
          <w:szCs w:val="24"/>
        </w:rPr>
        <w:t>) .</w:t>
      </w:r>
      <w:proofErr w:type="gramEnd"/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Russian</w:t>
      </w:r>
      <w:proofErr w:type="spellEnd"/>
      <w:r>
        <w:rPr>
          <w:color w:val="000000"/>
          <w:sz w:val="24"/>
          <w:szCs w:val="24"/>
        </w:rPr>
        <w:t xml:space="preserve">) [Савин А.В., </w:t>
      </w:r>
      <w:proofErr w:type="spellStart"/>
      <w:r>
        <w:rPr>
          <w:color w:val="000000"/>
          <w:sz w:val="24"/>
          <w:szCs w:val="24"/>
        </w:rPr>
        <w:t>Корзникова</w:t>
      </w:r>
      <w:proofErr w:type="spellEnd"/>
      <w:r>
        <w:rPr>
          <w:color w:val="000000"/>
          <w:sz w:val="24"/>
          <w:szCs w:val="24"/>
        </w:rPr>
        <w:t xml:space="preserve"> Е.А., </w:t>
      </w:r>
      <w:proofErr w:type="spellStart"/>
      <w:r>
        <w:rPr>
          <w:color w:val="000000"/>
          <w:sz w:val="24"/>
          <w:szCs w:val="24"/>
        </w:rPr>
        <w:t>Лобзенко</w:t>
      </w:r>
      <w:proofErr w:type="spellEnd"/>
      <w:r>
        <w:rPr>
          <w:color w:val="000000"/>
          <w:sz w:val="24"/>
          <w:szCs w:val="24"/>
        </w:rPr>
        <w:t xml:space="preserve"> И.П., </w:t>
      </w:r>
      <w:proofErr w:type="spellStart"/>
      <w:r>
        <w:rPr>
          <w:color w:val="000000"/>
          <w:sz w:val="24"/>
          <w:szCs w:val="24"/>
        </w:rPr>
        <w:t>Баимова</w:t>
      </w:r>
      <w:proofErr w:type="spellEnd"/>
      <w:r>
        <w:rPr>
          <w:color w:val="000000"/>
          <w:sz w:val="24"/>
          <w:szCs w:val="24"/>
        </w:rPr>
        <w:t xml:space="preserve"> Ю.А., Дмитриев С.В. Симметричные рулонные упаковки многослойных углеродных </w:t>
      </w:r>
      <w:proofErr w:type="spellStart"/>
      <w:r>
        <w:rPr>
          <w:color w:val="000000"/>
          <w:sz w:val="24"/>
          <w:szCs w:val="24"/>
        </w:rPr>
        <w:t>нанолент</w:t>
      </w:r>
      <w:proofErr w:type="spellEnd"/>
      <w:r>
        <w:rPr>
          <w:color w:val="000000"/>
          <w:sz w:val="24"/>
          <w:szCs w:val="24"/>
        </w:rPr>
        <w:t>// Физика твердого тела. 58(6), 1236-1242 (2016)].  DOI: 10.1134/S1063</w:t>
      </w:r>
      <w:r>
        <w:rPr>
          <w:color w:val="000000"/>
          <w:sz w:val="24"/>
          <w:szCs w:val="24"/>
        </w:rPr>
        <w:t>783416060317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ссылки на англоязычную статью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[3] </w:t>
      </w:r>
      <w:proofErr w:type="spellStart"/>
      <w:r>
        <w:rPr>
          <w:color w:val="000000"/>
          <w:sz w:val="24"/>
          <w:szCs w:val="24"/>
        </w:rPr>
        <w:t>Van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Geer</w:t>
      </w:r>
      <w:proofErr w:type="spellEnd"/>
      <w:r>
        <w:rPr>
          <w:color w:val="000000"/>
          <w:sz w:val="24"/>
          <w:szCs w:val="24"/>
        </w:rPr>
        <w:t xml:space="preserve"> J., </w:t>
      </w:r>
      <w:proofErr w:type="spellStart"/>
      <w:r>
        <w:rPr>
          <w:color w:val="000000"/>
          <w:sz w:val="24"/>
          <w:szCs w:val="24"/>
        </w:rPr>
        <w:t>Hanraads</w:t>
      </w:r>
      <w:proofErr w:type="spellEnd"/>
      <w:r>
        <w:rPr>
          <w:color w:val="000000"/>
          <w:sz w:val="24"/>
          <w:szCs w:val="24"/>
        </w:rPr>
        <w:t xml:space="preserve"> J. A., </w:t>
      </w:r>
      <w:proofErr w:type="spellStart"/>
      <w:r>
        <w:rPr>
          <w:color w:val="000000"/>
          <w:sz w:val="24"/>
          <w:szCs w:val="24"/>
        </w:rPr>
        <w:t>Lupton</w:t>
      </w:r>
      <w:proofErr w:type="spellEnd"/>
      <w:r>
        <w:rPr>
          <w:color w:val="000000"/>
          <w:sz w:val="24"/>
          <w:szCs w:val="24"/>
        </w:rPr>
        <w:t xml:space="preserve"> R. A.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writing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scientific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article</w:t>
      </w:r>
      <w:proofErr w:type="spellEnd"/>
      <w:r>
        <w:rPr>
          <w:color w:val="000000"/>
          <w:sz w:val="24"/>
          <w:szCs w:val="24"/>
        </w:rPr>
        <w:t xml:space="preserve">. // </w:t>
      </w:r>
      <w:proofErr w:type="spellStart"/>
      <w:r>
        <w:rPr>
          <w:color w:val="000000"/>
          <w:sz w:val="24"/>
          <w:szCs w:val="24"/>
        </w:rPr>
        <w:t>Journal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Scientific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Communications</w:t>
      </w:r>
      <w:proofErr w:type="spellEnd"/>
      <w:r>
        <w:rPr>
          <w:color w:val="000000"/>
          <w:sz w:val="24"/>
          <w:szCs w:val="24"/>
        </w:rPr>
        <w:t xml:space="preserve">, 163, 51–59(2010). </w:t>
      </w:r>
      <w:proofErr w:type="gramStart"/>
      <w:r>
        <w:rPr>
          <w:color w:val="000000"/>
          <w:sz w:val="24"/>
          <w:szCs w:val="24"/>
        </w:rPr>
        <w:t>DOI:10.1016</w:t>
      </w:r>
      <w:proofErr w:type="gramEnd"/>
      <w:r>
        <w:rPr>
          <w:color w:val="000000"/>
          <w:sz w:val="24"/>
          <w:szCs w:val="24"/>
        </w:rPr>
        <w:t>/j.Sc.2010.00372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ссылки на русскоязычную книгу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[4]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Dzh</w:t>
      </w:r>
      <w:proofErr w:type="spellEnd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Haffner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Nuclear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space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Moscow</w:t>
      </w:r>
      <w:proofErr w:type="spellEnd"/>
      <w:r>
        <w:rPr>
          <w:color w:val="000000"/>
          <w:sz w:val="24"/>
          <w:szCs w:val="24"/>
        </w:rPr>
        <w:t>:“</w:t>
      </w:r>
      <w:proofErr w:type="gramEnd"/>
      <w:r>
        <w:rPr>
          <w:color w:val="000000"/>
          <w:sz w:val="24"/>
          <w:szCs w:val="24"/>
        </w:rPr>
        <w:t>FIZMATLIT”, 1971.P.320. (</w:t>
      </w:r>
      <w:proofErr w:type="spellStart"/>
      <w:proofErr w:type="gram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Russian</w:t>
      </w:r>
      <w:proofErr w:type="spellEnd"/>
      <w:proofErr w:type="gramEnd"/>
      <w:r>
        <w:rPr>
          <w:color w:val="000000"/>
          <w:sz w:val="24"/>
          <w:szCs w:val="24"/>
        </w:rPr>
        <w:t>) [</w:t>
      </w:r>
      <w:proofErr w:type="spellStart"/>
      <w:r>
        <w:rPr>
          <w:color w:val="000000"/>
          <w:sz w:val="24"/>
          <w:szCs w:val="24"/>
        </w:rPr>
        <w:t>Гаффнер</w:t>
      </w:r>
      <w:proofErr w:type="spellEnd"/>
      <w:r>
        <w:rPr>
          <w:color w:val="000000"/>
          <w:sz w:val="24"/>
          <w:szCs w:val="24"/>
        </w:rPr>
        <w:t xml:space="preserve">  Дж.  Ядерное </w:t>
      </w:r>
      <w:proofErr w:type="gramStart"/>
      <w:r>
        <w:rPr>
          <w:color w:val="000000"/>
          <w:sz w:val="24"/>
          <w:szCs w:val="24"/>
        </w:rPr>
        <w:t>излучение  в</w:t>
      </w:r>
      <w:proofErr w:type="gramEnd"/>
      <w:r>
        <w:rPr>
          <w:color w:val="000000"/>
          <w:sz w:val="24"/>
          <w:szCs w:val="24"/>
        </w:rPr>
        <w:t xml:space="preserve">  космосе. М.: Атомиздат, 1971. 320 с.].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ссылки на англоязычную книгу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454" w:firstLine="567"/>
        <w:jc w:val="left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[5] </w:t>
      </w:r>
      <w:proofErr w:type="spellStart"/>
      <w:proofErr w:type="gramStart"/>
      <w:r>
        <w:rPr>
          <w:color w:val="000000"/>
          <w:sz w:val="24"/>
          <w:szCs w:val="24"/>
        </w:rPr>
        <w:t>Zienkiewicz</w:t>
      </w:r>
      <w:proofErr w:type="spellEnd"/>
      <w:r>
        <w:rPr>
          <w:color w:val="000000"/>
          <w:sz w:val="24"/>
          <w:szCs w:val="24"/>
        </w:rPr>
        <w:t xml:space="preserve">  O.</w:t>
      </w:r>
      <w:proofErr w:type="gramEnd"/>
      <w:r>
        <w:rPr>
          <w:color w:val="000000"/>
          <w:sz w:val="24"/>
          <w:szCs w:val="24"/>
        </w:rPr>
        <w:t xml:space="preserve">  C.  </w:t>
      </w:r>
      <w:proofErr w:type="spellStart"/>
      <w:proofErr w:type="gram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Taylor</w:t>
      </w:r>
      <w:proofErr w:type="spellEnd"/>
      <w:proofErr w:type="gramEnd"/>
      <w:r>
        <w:rPr>
          <w:color w:val="000000"/>
          <w:sz w:val="24"/>
          <w:szCs w:val="24"/>
        </w:rPr>
        <w:t xml:space="preserve">  R.  L.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Method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Fourth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Edition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Vol</w:t>
      </w:r>
      <w:proofErr w:type="spellEnd"/>
      <w:r>
        <w:rPr>
          <w:color w:val="000000"/>
          <w:sz w:val="24"/>
          <w:szCs w:val="24"/>
        </w:rPr>
        <w:t xml:space="preserve">. 1. </w:t>
      </w:r>
      <w:proofErr w:type="spellStart"/>
      <w:r>
        <w:rPr>
          <w:color w:val="000000"/>
          <w:sz w:val="24"/>
          <w:szCs w:val="24"/>
        </w:rPr>
        <w:t>Basic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Formulation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Linear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Problems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London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McGraw−Hill</w:t>
      </w:r>
      <w:proofErr w:type="spellEnd"/>
      <w:r>
        <w:rPr>
          <w:color w:val="000000"/>
          <w:sz w:val="24"/>
          <w:szCs w:val="24"/>
        </w:rPr>
        <w:t>, 1990. P. 249.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 ссылки </w:t>
      </w:r>
    </w:p>
    <w:p w:rsidR="00FF4377" w:rsidRDefault="00B150A8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[6] </w:t>
      </w:r>
      <w:proofErr w:type="spellStart"/>
      <w:r>
        <w:rPr>
          <w:color w:val="000000"/>
          <w:sz w:val="24"/>
          <w:szCs w:val="24"/>
        </w:rPr>
        <w:t>Patent</w:t>
      </w:r>
      <w:proofErr w:type="spellEnd"/>
      <w:r>
        <w:rPr>
          <w:color w:val="000000"/>
          <w:sz w:val="24"/>
          <w:szCs w:val="24"/>
        </w:rPr>
        <w:t xml:space="preserve"> RF № 2000450511/28, 07.12.2020. (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Russian</w:t>
      </w:r>
      <w:proofErr w:type="spellEnd"/>
      <w:r>
        <w:rPr>
          <w:color w:val="000000"/>
          <w:sz w:val="24"/>
          <w:szCs w:val="24"/>
        </w:rPr>
        <w:t>) [Патент РФ № 2</w:t>
      </w:r>
      <w:r>
        <w:rPr>
          <w:color w:val="000000"/>
          <w:sz w:val="24"/>
          <w:szCs w:val="24"/>
        </w:rPr>
        <w:t>000450511/28, 07.12.2020].</w:t>
      </w:r>
    </w:p>
    <w:p w:rsidR="00FF4377" w:rsidRDefault="00FF4377">
      <w:pPr>
        <w:pBdr>
          <w:top w:val="nil"/>
          <w:left w:val="nil"/>
          <w:bottom w:val="nil"/>
          <w:right w:val="nil"/>
          <w:between w:val="nil"/>
        </w:pBdr>
        <w:ind w:left="1381" w:hanging="453"/>
        <w:jc w:val="left"/>
        <w:rPr>
          <w:color w:val="000000"/>
          <w:sz w:val="24"/>
          <w:szCs w:val="24"/>
        </w:rPr>
      </w:pPr>
    </w:p>
    <w:p w:rsidR="00FF4377" w:rsidRDefault="00FF4377">
      <w:pPr>
        <w:spacing w:line="360" w:lineRule="auto"/>
        <w:ind w:firstLine="709"/>
        <w:rPr>
          <w:sz w:val="24"/>
          <w:szCs w:val="24"/>
        </w:rPr>
      </w:pPr>
    </w:p>
    <w:p w:rsidR="00FF4377" w:rsidRDefault="00FF4377">
      <w:pPr>
        <w:spacing w:line="360" w:lineRule="auto"/>
        <w:ind w:firstLine="709"/>
        <w:rPr>
          <w:sz w:val="24"/>
          <w:szCs w:val="24"/>
        </w:rPr>
      </w:pPr>
    </w:p>
    <w:p w:rsidR="00FF4377" w:rsidRDefault="00FF4377"/>
    <w:sectPr w:rsidR="00FF437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77"/>
    <w:rsid w:val="00B150A8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BAE9-1483-444A-B0EE-2BDFBE80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mith@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GDP2019</cp:lastModifiedBy>
  <cp:revision>2</cp:revision>
  <dcterms:created xsi:type="dcterms:W3CDTF">2023-06-07T08:54:00Z</dcterms:created>
  <dcterms:modified xsi:type="dcterms:W3CDTF">2023-06-07T08:54:00Z</dcterms:modified>
</cp:coreProperties>
</file>